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DAC6" w14:textId="53208F3C" w:rsidR="00356965" w:rsidRPr="00356965" w:rsidRDefault="00356965" w:rsidP="00356965">
      <w:pPr>
        <w:pBdr>
          <w:bottom w:val="single" w:sz="4" w:space="1" w:color="auto"/>
        </w:pBdr>
        <w:shd w:val="clear" w:color="auto" w:fill="FFFFFF"/>
        <w:jc w:val="center"/>
        <w:rPr>
          <w:rFonts w:ascii="Arial" w:eastAsia="Times New Roman" w:hAnsi="Arial"/>
          <w:b/>
          <w:color w:val="222222"/>
          <w:lang w:eastAsia="it-IT"/>
        </w:rPr>
      </w:pPr>
      <w:r w:rsidRPr="00356965">
        <w:rPr>
          <w:rFonts w:ascii="Arial" w:eastAsia="Times New Roman" w:hAnsi="Arial"/>
          <w:b/>
          <w:color w:val="222222"/>
          <w:lang w:eastAsia="it-IT"/>
        </w:rPr>
        <w:t>Pillole sul ruolo dell’U</w:t>
      </w:r>
      <w:r w:rsidR="003D080D">
        <w:rPr>
          <w:rFonts w:ascii="Arial" w:eastAsia="Times New Roman" w:hAnsi="Arial"/>
          <w:b/>
          <w:color w:val="222222"/>
          <w:lang w:eastAsia="it-IT"/>
        </w:rPr>
        <w:t xml:space="preserve">nità </w:t>
      </w:r>
      <w:r w:rsidRPr="00356965">
        <w:rPr>
          <w:rFonts w:ascii="Arial" w:eastAsia="Times New Roman" w:hAnsi="Arial"/>
          <w:b/>
          <w:color w:val="222222"/>
          <w:lang w:eastAsia="it-IT"/>
        </w:rPr>
        <w:t>S</w:t>
      </w:r>
      <w:r w:rsidR="003D080D">
        <w:rPr>
          <w:rFonts w:ascii="Arial" w:eastAsia="Times New Roman" w:hAnsi="Arial"/>
          <w:b/>
          <w:color w:val="222222"/>
          <w:lang w:eastAsia="it-IT"/>
        </w:rPr>
        <w:t xml:space="preserve">pinale </w:t>
      </w:r>
      <w:r w:rsidRPr="00356965">
        <w:rPr>
          <w:rFonts w:ascii="Arial" w:eastAsia="Times New Roman" w:hAnsi="Arial"/>
          <w:b/>
          <w:color w:val="222222"/>
          <w:lang w:eastAsia="it-IT"/>
        </w:rPr>
        <w:t>U</w:t>
      </w:r>
      <w:r w:rsidR="003D080D">
        <w:rPr>
          <w:rFonts w:ascii="Arial" w:eastAsia="Times New Roman" w:hAnsi="Arial"/>
          <w:b/>
          <w:color w:val="222222"/>
          <w:lang w:eastAsia="it-IT"/>
        </w:rPr>
        <w:t>nipolare</w:t>
      </w:r>
    </w:p>
    <w:p w14:paraId="622445BA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0392959A" w14:textId="0EA109A5" w:rsidR="003D080D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Le </w:t>
      </w:r>
      <w:r w:rsidR="003D080D">
        <w:rPr>
          <w:rFonts w:ascii="Arial" w:eastAsia="Times New Roman" w:hAnsi="Arial"/>
          <w:color w:val="222222"/>
          <w:sz w:val="22"/>
          <w:szCs w:val="22"/>
          <w:lang w:eastAsia="it-IT"/>
        </w:rPr>
        <w:t>U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nità </w:t>
      </w:r>
      <w:r w:rsidR="003D080D">
        <w:rPr>
          <w:rFonts w:ascii="Arial" w:eastAsia="Times New Roman" w:hAnsi="Arial"/>
          <w:color w:val="222222"/>
          <w:sz w:val="22"/>
          <w:szCs w:val="22"/>
          <w:lang w:eastAsia="it-IT"/>
        </w:rPr>
        <w:t>S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pinali</w:t>
      </w:r>
      <w:r w:rsidR="003D080D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Unipolari sono “</w:t>
      </w:r>
      <w:r w:rsidR="003D080D" w:rsidRPr="003D080D">
        <w:rPr>
          <w:rFonts w:ascii="Arial" w:eastAsia="Times New Roman" w:hAnsi="Arial"/>
          <w:i/>
          <w:iCs/>
          <w:color w:val="222222"/>
          <w:sz w:val="22"/>
          <w:szCs w:val="22"/>
          <w:lang w:eastAsia="it-IT"/>
        </w:rPr>
        <w:t>strutture di alta specialità riabilitativa</w:t>
      </w:r>
      <w:r w:rsidR="003D080D">
        <w:rPr>
          <w:rFonts w:ascii="Arial" w:eastAsia="Times New Roman" w:hAnsi="Arial"/>
          <w:i/>
          <w:iCs/>
          <w:color w:val="222222"/>
          <w:sz w:val="22"/>
          <w:szCs w:val="22"/>
          <w:lang w:eastAsia="it-IT"/>
        </w:rPr>
        <w:t xml:space="preserve"> </w:t>
      </w:r>
      <w:r w:rsidR="007D4538">
        <w:rPr>
          <w:rFonts w:ascii="Arial" w:eastAsia="Times New Roman" w:hAnsi="Arial"/>
          <w:i/>
          <w:iCs/>
          <w:color w:val="222222"/>
          <w:sz w:val="22"/>
          <w:szCs w:val="22"/>
          <w:lang w:eastAsia="it-IT"/>
        </w:rPr>
        <w:t>– Codice 28</w:t>
      </w:r>
      <w:r w:rsidR="003D080D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” specializzate nella presa in carico di persone con lesione al midollo spinale, sia traumatica che non traumatica, che garantiscono continuità assistenziale e riabilitativa in tutte le fasi </w:t>
      </w:r>
      <w:r w:rsidR="007D4538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dall’evento lesivo alla dimissione. </w:t>
      </w:r>
    </w:p>
    <w:p w14:paraId="7A36AC74" w14:textId="77777777" w:rsidR="003D080D" w:rsidRDefault="003D080D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4E5757EC" w14:textId="19E41265" w:rsidR="00356965" w:rsidRDefault="003D080D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>
        <w:rPr>
          <w:rFonts w:ascii="Arial" w:eastAsia="Times New Roman" w:hAnsi="Arial"/>
          <w:color w:val="222222"/>
          <w:sz w:val="22"/>
          <w:szCs w:val="22"/>
          <w:lang w:eastAsia="it-IT"/>
        </w:rPr>
        <w:t>O</w:t>
      </w:r>
      <w:r w:rsidR="00356965"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ffrono un approccio multidisciplinare 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e multiprofessionale </w:t>
      </w:r>
      <w:r w:rsidR="00356965"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che include:</w:t>
      </w:r>
    </w:p>
    <w:p w14:paraId="7A62C87B" w14:textId="77777777" w:rsidR="003D080D" w:rsidRPr="00356965" w:rsidRDefault="003D080D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07D4C6BD" w14:textId="3E1EEA04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 </w:t>
      </w: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Medici specialisti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 (neurologi, fisiatri,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internisti, 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ortopedici, urologi, ecc.);</w:t>
      </w:r>
    </w:p>
    <w:p w14:paraId="08D8F783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 </w:t>
      </w: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Fisioterapisti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 e </w:t>
      </w: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terapisti occupazionali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;</w:t>
      </w:r>
    </w:p>
    <w:p w14:paraId="188FADB3" w14:textId="487E5E0E" w:rsidR="007A504E" w:rsidRDefault="00356965" w:rsidP="007A504E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 </w:t>
      </w: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Psicologi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 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- </w:t>
      </w:r>
      <w:r w:rsidR="007A504E" w:rsidRPr="007A504E">
        <w:rPr>
          <w:rFonts w:ascii="Arial" w:eastAsia="Times New Roman" w:hAnsi="Arial"/>
          <w:b/>
          <w:color w:val="222222"/>
          <w:sz w:val="22"/>
          <w:szCs w:val="22"/>
          <w:lang w:eastAsia="it-IT"/>
        </w:rPr>
        <w:t>Assistente Sociale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e consulenti per il supporto emotivo;</w:t>
      </w:r>
    </w:p>
    <w:p w14:paraId="2BE7B070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 </w:t>
      </w: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Infermieri specializzati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 in lesioni midollari.</w:t>
      </w:r>
    </w:p>
    <w:p w14:paraId="72687168" w14:textId="07E580AE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Riabilitazione precoce e intensiva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:</w:t>
      </w:r>
    </w:p>
    <w:p w14:paraId="2BD38FE1" w14:textId="4B83459B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Il trattamento tempestivo riduce complicanze (come infezioni, 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>lesioni da pressione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, spasticità) e migliora il recupero funzionale e l’adattamento alla nuova condizione di vita.</w:t>
      </w:r>
    </w:p>
    <w:p w14:paraId="6E437032" w14:textId="0A864651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Gestione delle complicanze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:</w:t>
      </w:r>
    </w:p>
    <w:p w14:paraId="2C34169E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Le persone con lesione midollare possono sviluppare problemi complessi, come:</w:t>
      </w:r>
    </w:p>
    <w:p w14:paraId="655466F7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Disfunzioni vescicali e intestinali;</w:t>
      </w:r>
    </w:p>
    <w:p w14:paraId="71FEFB14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Problemi respiratori;</w:t>
      </w:r>
    </w:p>
    <w:p w14:paraId="5DF316F0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Dolori neuropatici.</w:t>
      </w:r>
    </w:p>
    <w:p w14:paraId="51C3EBF3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L’unità spinale è attrezzata per gestire questi aspetti con trattamenti medici e tecnologici avanzati.</w:t>
      </w:r>
    </w:p>
    <w:p w14:paraId="643F9F4B" w14:textId="5C444BC2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Rieducazione all’autonomia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:</w:t>
      </w:r>
    </w:p>
    <w:p w14:paraId="77CEEE2A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Attraverso programmi di riabilitazione personalizzati, le unità spinali aiutano il paziente a raggiungere il massimo livello possibile di indipendenza, con l’uso di ausili, protesi, e tecniche di assistenza quotidiana.</w:t>
      </w:r>
    </w:p>
    <w:p w14:paraId="5893AD01" w14:textId="431B27C2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Supporto psicologico e sociale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:</w:t>
      </w:r>
    </w:p>
    <w:p w14:paraId="3460E0FF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La lesione del midollo spinale ha un forte impatto sulla qualità della vita. Le unità spinali offrono servizi di supporto psicologico, consulenza familiare e programmi di reinserimento sociale e lavorativo.</w:t>
      </w:r>
    </w:p>
    <w:p w14:paraId="03A4641E" w14:textId="03D10A35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Ricerca e innovazione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:</w:t>
      </w:r>
    </w:p>
    <w:p w14:paraId="529EAEB4" w14:textId="4CCE54F1" w:rsid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Molte unità spinali sono coinvolte nella ricerca clinica e tecnologica per migliorare i trattamenti, inclusi studi</w:t>
      </w:r>
      <w:r w:rsidR="007D4538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farmacologici,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sull’uso di esoscheletri, stimolazioni spinali e rigenerazione nervosa.</w:t>
      </w:r>
    </w:p>
    <w:p w14:paraId="5551E563" w14:textId="77777777" w:rsidR="00DA1454" w:rsidRPr="00356965" w:rsidRDefault="00DA1454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2CA10C87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b/>
          <w:bCs/>
          <w:color w:val="222222"/>
          <w:sz w:val="22"/>
          <w:szCs w:val="22"/>
          <w:lang w:eastAsia="it-IT"/>
        </w:rPr>
        <w:t>Benefici per i pazienti</w:t>
      </w:r>
    </w:p>
    <w:p w14:paraId="396A686A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42348E63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Miglioramento della sopravvivenza e della qualità della vita.</w:t>
      </w:r>
    </w:p>
    <w:p w14:paraId="75474AAC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Riduzione delle complicanze a lungo termine.</w:t>
      </w:r>
    </w:p>
    <w:p w14:paraId="4B08991A" w14:textId="7777777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• Recupero funzionale ottimizzato.</w:t>
      </w:r>
    </w:p>
    <w:p w14:paraId="4F6C2E9E" w14:textId="1DAA7F3E" w:rsidR="00B10AEC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• Supporto per </w:t>
      </w:r>
      <w:r w:rsidR="007D4538">
        <w:rPr>
          <w:rFonts w:ascii="Arial" w:eastAsia="Times New Roman" w:hAnsi="Arial"/>
          <w:color w:val="222222"/>
          <w:sz w:val="22"/>
          <w:szCs w:val="22"/>
          <w:lang w:eastAsia="it-IT"/>
        </w:rPr>
        <w:t>l’inclusione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nella società e nella vita lavorativa</w:t>
      </w:r>
      <w:r w:rsidR="007D4538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</w:t>
      </w:r>
    </w:p>
    <w:p w14:paraId="1CD47573" w14:textId="77777777" w:rsidR="00D00350" w:rsidRDefault="00D00350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4FB05DD8" w14:textId="77777777" w:rsidR="00CF70CD" w:rsidRDefault="00CF70CD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04453F0A" w14:textId="77777777" w:rsidR="00B10AEC" w:rsidRDefault="00B10AEC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592C7F0D" w14:textId="41CD89DA" w:rsidR="003821DB" w:rsidRPr="003821DB" w:rsidRDefault="003821DB" w:rsidP="003821DB">
      <w:pPr>
        <w:pBdr>
          <w:bottom w:val="single" w:sz="4" w:space="1" w:color="auto"/>
        </w:pBdr>
        <w:shd w:val="clear" w:color="auto" w:fill="FFFFFF"/>
        <w:jc w:val="center"/>
        <w:rPr>
          <w:rFonts w:ascii="Arial" w:eastAsia="Times New Roman" w:hAnsi="Arial"/>
          <w:b/>
          <w:color w:val="222222"/>
          <w:sz w:val="22"/>
          <w:szCs w:val="22"/>
          <w:lang w:eastAsia="it-IT"/>
        </w:rPr>
      </w:pPr>
      <w:r w:rsidRPr="003821DB">
        <w:rPr>
          <w:rFonts w:ascii="Arial" w:eastAsia="Times New Roman" w:hAnsi="Arial"/>
          <w:b/>
          <w:color w:val="222222"/>
          <w:sz w:val="22"/>
          <w:szCs w:val="22"/>
          <w:lang w:eastAsia="it-IT"/>
        </w:rPr>
        <w:lastRenderedPageBreak/>
        <w:t>Considerazioni conclusive</w:t>
      </w:r>
    </w:p>
    <w:p w14:paraId="1B12F855" w14:textId="77777777" w:rsidR="003821DB" w:rsidRPr="00356965" w:rsidRDefault="003821DB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</w:p>
    <w:p w14:paraId="1A7746C1" w14:textId="0FBCDEA7" w:rsidR="00356965" w:rsidRPr="00356965" w:rsidRDefault="00356965" w:rsidP="00356965">
      <w:pPr>
        <w:shd w:val="clear" w:color="auto" w:fill="FFFFFF"/>
        <w:rPr>
          <w:rFonts w:ascii="Arial" w:eastAsia="Times New Roman" w:hAnsi="Arial"/>
          <w:color w:val="222222"/>
          <w:sz w:val="22"/>
          <w:szCs w:val="22"/>
          <w:lang w:eastAsia="it-IT"/>
        </w:rPr>
      </w:pP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>L’istituzione di unità spinali rappresenta quindi un modello essenziale per la gestione ottimale delle</w:t>
      </w:r>
      <w:r w:rsidR="003821DB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persone con lesione </w:t>
      </w:r>
      <w:r w:rsidR="003C2F2F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al midollo spinale </w:t>
      </w:r>
      <w:r w:rsidRPr="00356965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per favorire il recupero fisico, psicologico e sociale </w:t>
      </w:r>
      <w:r w:rsidR="003821DB">
        <w:rPr>
          <w:rFonts w:ascii="Arial" w:eastAsia="Times New Roman" w:hAnsi="Arial"/>
          <w:color w:val="222222"/>
          <w:sz w:val="22"/>
          <w:szCs w:val="22"/>
          <w:lang w:eastAsia="it-IT"/>
        </w:rPr>
        <w:t>di queste</w:t>
      </w:r>
      <w:r w:rsidR="007A504E">
        <w:rPr>
          <w:rFonts w:ascii="Arial" w:eastAsia="Times New Roman" w:hAnsi="Arial"/>
          <w:color w:val="222222"/>
          <w:sz w:val="22"/>
          <w:szCs w:val="22"/>
          <w:lang w:eastAsia="it-IT"/>
        </w:rPr>
        <w:t xml:space="preserve"> persone.</w:t>
      </w:r>
    </w:p>
    <w:p w14:paraId="6CE229D6" w14:textId="56A5D6C3" w:rsidR="00356965" w:rsidRDefault="00DA1454" w:rsidP="003821DB">
      <w:pPr>
        <w:jc w:val="both"/>
        <w:rPr>
          <w:rFonts w:ascii="Arial" w:eastAsiaTheme="minorHAnsi" w:hAnsi="Arial"/>
          <w:b/>
          <w:sz w:val="22"/>
          <w:szCs w:val="22"/>
          <w:lang w:eastAsia="en-US"/>
        </w:rPr>
      </w:pP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In Italia esistono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>9 Unità Spinali Unipolari</w:t>
      </w:r>
      <w:r w:rsidR="000C03F5">
        <w:rPr>
          <w:rFonts w:ascii="Arial" w:eastAsiaTheme="minorHAnsi" w:hAnsi="Arial"/>
          <w:sz w:val="22"/>
          <w:szCs w:val="22"/>
          <w:lang w:eastAsia="en-US"/>
        </w:rPr>
        <w:t>. U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na di queste è </w:t>
      </w:r>
      <w:r w:rsidR="000C03F5">
        <w:rPr>
          <w:rFonts w:ascii="Arial" w:eastAsiaTheme="minorHAnsi" w:hAnsi="Arial"/>
          <w:sz w:val="22"/>
          <w:szCs w:val="22"/>
          <w:lang w:eastAsia="en-US"/>
        </w:rPr>
        <w:t xml:space="preserve">in funzione dal 1994  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>a Perugia</w:t>
      </w:r>
      <w:r w:rsidR="000C03F5">
        <w:rPr>
          <w:rFonts w:ascii="Arial" w:eastAsiaTheme="minorHAnsi" w:hAnsi="Arial"/>
          <w:sz w:val="22"/>
          <w:szCs w:val="22"/>
          <w:lang w:eastAsia="en-US"/>
        </w:rPr>
        <w:t>,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 </w:t>
      </w:r>
      <w:r w:rsidR="000C03F5">
        <w:rPr>
          <w:rFonts w:ascii="Arial" w:eastAsiaTheme="minorHAnsi" w:hAnsi="Arial"/>
          <w:b/>
          <w:sz w:val="22"/>
          <w:szCs w:val="22"/>
          <w:lang w:eastAsia="en-US"/>
        </w:rPr>
        <w:t xml:space="preserve">istituita con Delibere Regionali, ultima delle quali la n. 250/2009,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 e </w:t>
      </w:r>
      <w:r w:rsidR="00F00A92">
        <w:rPr>
          <w:rFonts w:ascii="Arial" w:eastAsiaTheme="minorHAnsi" w:hAnsi="Arial"/>
          <w:b/>
          <w:sz w:val="22"/>
          <w:szCs w:val="22"/>
          <w:lang w:eastAsia="en-US"/>
        </w:rPr>
        <w:t>attualmente situata al piano -2 dell’Ospedale Regionale Santa Maria della Misericordia</w:t>
      </w:r>
      <w:r w:rsidR="000C03F5">
        <w:rPr>
          <w:rFonts w:ascii="Arial" w:eastAsiaTheme="minorHAnsi" w:hAnsi="Arial"/>
          <w:b/>
          <w:sz w:val="22"/>
          <w:szCs w:val="22"/>
          <w:lang w:eastAsia="en-US"/>
        </w:rPr>
        <w:t xml:space="preserve"> con 13 posti letto per la degenza e con attività ambulatoriali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>.</w:t>
      </w:r>
    </w:p>
    <w:p w14:paraId="58266234" w14:textId="77777777" w:rsidR="000C03F5" w:rsidRPr="003821DB" w:rsidRDefault="000C03F5" w:rsidP="003821DB">
      <w:pPr>
        <w:jc w:val="both"/>
        <w:rPr>
          <w:rFonts w:ascii="Arial" w:eastAsiaTheme="minorHAnsi" w:hAnsi="Arial"/>
          <w:b/>
          <w:sz w:val="22"/>
          <w:szCs w:val="22"/>
          <w:lang w:eastAsia="en-US"/>
        </w:rPr>
      </w:pPr>
    </w:p>
    <w:p w14:paraId="5BEE7D14" w14:textId="588224FD" w:rsidR="00DA1454" w:rsidRPr="003821DB" w:rsidRDefault="00DA1454" w:rsidP="003821DB">
      <w:pPr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Negli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>ultimi tre anni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 le politiche sanitarie </w:t>
      </w:r>
      <w:r w:rsidR="000C03F5">
        <w:rPr>
          <w:rFonts w:ascii="Arial" w:eastAsiaTheme="minorHAnsi" w:hAnsi="Arial"/>
          <w:sz w:val="22"/>
          <w:szCs w:val="22"/>
          <w:lang w:eastAsia="en-US"/>
        </w:rPr>
        <w:t>messe in atto da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lla Giunta Tesei ed in particolare nella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>gestione delle politiche aziendali per l’Az. Ospedaliera di Perugia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, hanno depotenziato sostanzialmente le attività dell’USU sottraendo risorse di Personale e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>riducendo drasticamente le attività assistenziali</w:t>
      </w:r>
      <w:r w:rsidR="00021A80">
        <w:rPr>
          <w:rFonts w:ascii="Arial" w:eastAsiaTheme="minorHAnsi" w:hAnsi="Arial"/>
          <w:b/>
          <w:sz w:val="22"/>
          <w:szCs w:val="22"/>
          <w:lang w:eastAsia="en-US"/>
        </w:rPr>
        <w:t>,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 riabilitative</w:t>
      </w:r>
      <w:r w:rsidR="00021A80">
        <w:rPr>
          <w:rFonts w:ascii="Arial" w:eastAsiaTheme="minorHAnsi" w:hAnsi="Arial"/>
          <w:b/>
          <w:sz w:val="22"/>
          <w:szCs w:val="22"/>
          <w:lang w:eastAsia="en-US"/>
        </w:rPr>
        <w:t xml:space="preserve"> e ambulatoriali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 che ponevano la Struttura Complessa di USU ad un livello di qualità </w:t>
      </w:r>
      <w:r w:rsidR="00021A80">
        <w:rPr>
          <w:rFonts w:ascii="Arial" w:eastAsiaTheme="minorHAnsi" w:hAnsi="Arial"/>
          <w:sz w:val="22"/>
          <w:szCs w:val="22"/>
          <w:lang w:eastAsia="en-US"/>
        </w:rPr>
        <w:t>nel panorama nazionale.</w:t>
      </w:r>
    </w:p>
    <w:p w14:paraId="37A5BBB7" w14:textId="2E6CA27D" w:rsidR="00DA1454" w:rsidRDefault="00DA1454" w:rsidP="003821DB">
      <w:pPr>
        <w:jc w:val="both"/>
        <w:rPr>
          <w:rFonts w:ascii="Arial" w:eastAsiaTheme="minorHAnsi" w:hAnsi="Arial"/>
          <w:b/>
          <w:sz w:val="22"/>
          <w:szCs w:val="22"/>
          <w:lang w:eastAsia="en-US"/>
        </w:rPr>
      </w:pP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In Umbria </w:t>
      </w:r>
      <w:r w:rsidR="003821DB" w:rsidRPr="003821DB">
        <w:rPr>
          <w:rFonts w:ascii="Arial" w:eastAsiaTheme="minorHAnsi" w:hAnsi="Arial"/>
          <w:b/>
          <w:sz w:val="22"/>
          <w:szCs w:val="22"/>
          <w:lang w:eastAsia="en-US"/>
        </w:rPr>
        <w:t>risiedono circa 500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 persone con lesione al midollo spinale</w:t>
      </w:r>
      <w:r w:rsidR="0090064F">
        <w:rPr>
          <w:rFonts w:ascii="Arial" w:eastAsiaTheme="minorHAnsi" w:hAnsi="Arial"/>
          <w:b/>
          <w:sz w:val="22"/>
          <w:szCs w:val="22"/>
          <w:lang w:eastAsia="en-US"/>
        </w:rPr>
        <w:t xml:space="preserve"> stabilizzate</w:t>
      </w:r>
      <w:r w:rsidR="00630583">
        <w:rPr>
          <w:rFonts w:ascii="Arial" w:eastAsiaTheme="minorHAnsi" w:hAnsi="Arial"/>
          <w:sz w:val="22"/>
          <w:szCs w:val="22"/>
          <w:lang w:eastAsia="en-US"/>
        </w:rPr>
        <w:t>. O</w:t>
      </w:r>
      <w:r w:rsidR="00927BFF">
        <w:rPr>
          <w:rFonts w:ascii="Arial" w:eastAsiaTheme="minorHAnsi" w:hAnsi="Arial"/>
          <w:sz w:val="22"/>
          <w:szCs w:val="22"/>
          <w:lang w:eastAsia="en-US"/>
        </w:rPr>
        <w:t>gni anno i</w:t>
      </w:r>
      <w:r w:rsidR="0090064F">
        <w:rPr>
          <w:rFonts w:ascii="Arial" w:eastAsiaTheme="minorHAnsi" w:hAnsi="Arial"/>
          <w:sz w:val="22"/>
          <w:szCs w:val="22"/>
          <w:lang w:eastAsia="en-US"/>
        </w:rPr>
        <w:t>n</w:t>
      </w:r>
      <w:r w:rsidR="00927BFF">
        <w:rPr>
          <w:rFonts w:ascii="Arial" w:eastAsiaTheme="minorHAnsi" w:hAnsi="Arial"/>
          <w:sz w:val="22"/>
          <w:szCs w:val="22"/>
          <w:lang w:eastAsia="en-US"/>
        </w:rPr>
        <w:t xml:space="preserve"> Umbria si verificano 20- 25 </w:t>
      </w:r>
      <w:r w:rsidR="006D2289">
        <w:rPr>
          <w:rFonts w:ascii="Arial" w:eastAsiaTheme="minorHAnsi" w:hAnsi="Arial"/>
          <w:sz w:val="22"/>
          <w:szCs w:val="22"/>
          <w:lang w:eastAsia="en-US"/>
        </w:rPr>
        <w:t xml:space="preserve">nuovi </w:t>
      </w:r>
      <w:r w:rsidR="00927BFF">
        <w:rPr>
          <w:rFonts w:ascii="Arial" w:eastAsiaTheme="minorHAnsi" w:hAnsi="Arial"/>
          <w:sz w:val="22"/>
          <w:szCs w:val="22"/>
          <w:lang w:eastAsia="en-US"/>
        </w:rPr>
        <w:t xml:space="preserve">casi di lesione al midollo spinale, 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 xml:space="preserve">che dopo un fatto acuto traumatico o non traumatico, diventano Para o Tetra </w:t>
      </w:r>
      <w:proofErr w:type="spellStart"/>
      <w:r w:rsidRPr="003821DB">
        <w:rPr>
          <w:rFonts w:ascii="Arial" w:eastAsiaTheme="minorHAnsi" w:hAnsi="Arial"/>
          <w:sz w:val="22"/>
          <w:szCs w:val="22"/>
          <w:lang w:eastAsia="en-US"/>
        </w:rPr>
        <w:t>plegic</w:t>
      </w:r>
      <w:r w:rsidR="006D2289">
        <w:rPr>
          <w:rFonts w:ascii="Arial" w:eastAsiaTheme="minorHAnsi" w:hAnsi="Arial"/>
          <w:sz w:val="22"/>
          <w:szCs w:val="22"/>
          <w:lang w:eastAsia="en-US"/>
        </w:rPr>
        <w:t>i</w:t>
      </w:r>
      <w:proofErr w:type="spellEnd"/>
      <w:r w:rsidR="00021A80">
        <w:rPr>
          <w:rFonts w:ascii="Arial" w:eastAsiaTheme="minorHAnsi" w:hAnsi="Arial"/>
          <w:sz w:val="22"/>
          <w:szCs w:val="22"/>
          <w:lang w:eastAsia="en-US"/>
        </w:rPr>
        <w:t>. S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>e l’USU non riesce a soddisfare le loro necessità assistenziali, riabilitative e sociali</w:t>
      </w:r>
      <w:r w:rsidR="00021A80">
        <w:rPr>
          <w:rFonts w:ascii="Arial" w:eastAsiaTheme="minorHAnsi" w:hAnsi="Arial"/>
          <w:sz w:val="22"/>
          <w:szCs w:val="22"/>
          <w:lang w:eastAsia="en-US"/>
        </w:rPr>
        <w:t xml:space="preserve">, come sta avvenendo, </w:t>
      </w:r>
      <w:r w:rsidRPr="003821DB">
        <w:rPr>
          <w:rFonts w:ascii="Arial" w:eastAsiaTheme="minorHAnsi" w:hAnsi="Arial"/>
          <w:sz w:val="22"/>
          <w:szCs w:val="22"/>
          <w:lang w:eastAsia="en-US"/>
        </w:rPr>
        <w:t>queste persone</w:t>
      </w:r>
      <w:r w:rsidR="00021A80">
        <w:rPr>
          <w:rFonts w:ascii="Arial" w:eastAsiaTheme="minorHAnsi" w:hAnsi="Arial"/>
          <w:b/>
          <w:sz w:val="22"/>
          <w:szCs w:val="22"/>
          <w:lang w:eastAsia="en-US"/>
        </w:rPr>
        <w:t>, come in passato,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 </w:t>
      </w:r>
      <w:r w:rsidR="00021A80"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sono </w:t>
      </w:r>
      <w:r w:rsidR="00021A80">
        <w:rPr>
          <w:rFonts w:ascii="Arial" w:eastAsiaTheme="minorHAnsi" w:hAnsi="Arial"/>
          <w:b/>
          <w:sz w:val="22"/>
          <w:szCs w:val="22"/>
          <w:lang w:eastAsia="en-US"/>
        </w:rPr>
        <w:t xml:space="preserve">purtroppo </w:t>
      </w:r>
      <w:r w:rsidR="00021A80"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costrette </w:t>
      </w:r>
      <w:r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ad </w:t>
      </w:r>
      <w:r w:rsidR="003821DB" w:rsidRPr="003821DB">
        <w:rPr>
          <w:rFonts w:ascii="Arial" w:eastAsiaTheme="minorHAnsi" w:hAnsi="Arial"/>
          <w:b/>
          <w:sz w:val="22"/>
          <w:szCs w:val="22"/>
          <w:lang w:eastAsia="en-US"/>
        </w:rPr>
        <w:t xml:space="preserve">“emigrare” in altre regioni con gravi disagi per </w:t>
      </w:r>
      <w:r w:rsidR="00021A80">
        <w:rPr>
          <w:rFonts w:ascii="Arial" w:eastAsiaTheme="minorHAnsi" w:hAnsi="Arial"/>
          <w:b/>
          <w:sz w:val="22"/>
          <w:szCs w:val="22"/>
          <w:lang w:eastAsia="en-US"/>
        </w:rPr>
        <w:t xml:space="preserve">loro e per </w:t>
      </w:r>
      <w:r w:rsidR="003821DB" w:rsidRPr="003821DB">
        <w:rPr>
          <w:rFonts w:ascii="Arial" w:eastAsiaTheme="minorHAnsi" w:hAnsi="Arial"/>
          <w:b/>
          <w:sz w:val="22"/>
          <w:szCs w:val="22"/>
          <w:lang w:eastAsia="en-US"/>
        </w:rPr>
        <w:t>le famiglie.</w:t>
      </w:r>
    </w:p>
    <w:p w14:paraId="274DF362" w14:textId="77777777" w:rsidR="00B10AEC" w:rsidRPr="003821DB" w:rsidRDefault="00B10AEC" w:rsidP="003821DB">
      <w:pPr>
        <w:jc w:val="both"/>
        <w:rPr>
          <w:rFonts w:ascii="Arial" w:eastAsiaTheme="minorHAnsi" w:hAnsi="Arial"/>
          <w:b/>
          <w:sz w:val="22"/>
          <w:szCs w:val="22"/>
          <w:lang w:eastAsia="en-US"/>
        </w:rPr>
      </w:pPr>
    </w:p>
    <w:p w14:paraId="15A85B4E" w14:textId="17D5B0A6" w:rsidR="006B3DF7" w:rsidRPr="003D080D" w:rsidRDefault="003821DB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Si tratta di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>restituire alla comunità regionale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e non solo, con  personale adeguato e le tecnologie appropriate,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>una Struttura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che nel panorama Nazionale </w:t>
      </w:r>
      <w:r w:rsidR="00377E37" w:rsidRPr="003D080D">
        <w:rPr>
          <w:rFonts w:ascii="Arial" w:eastAsiaTheme="minorHAnsi" w:hAnsi="Arial"/>
          <w:bCs/>
          <w:sz w:val="22"/>
          <w:szCs w:val="22"/>
          <w:lang w:eastAsia="en-US"/>
        </w:rPr>
        <w:t>ha</w:t>
      </w:r>
      <w:r w:rsidR="00021A80"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avuto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</w:t>
      </w:r>
      <w:r w:rsidR="00021A80"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e ha la possibilità di mantenere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>un ruolo attrattivo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importante, vista l</w:t>
      </w:r>
      <w:r w:rsidR="00021A80"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’ esiguità 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di tali servizi </w:t>
      </w:r>
      <w:r w:rsidR="00021A80" w:rsidRPr="003D080D">
        <w:rPr>
          <w:rFonts w:ascii="Arial" w:eastAsiaTheme="minorHAnsi" w:hAnsi="Arial"/>
          <w:bCs/>
          <w:sz w:val="22"/>
          <w:szCs w:val="22"/>
          <w:lang w:eastAsia="en-US"/>
        </w:rPr>
        <w:t>in Italia.</w:t>
      </w:r>
    </w:p>
    <w:p w14:paraId="588E2648" w14:textId="77777777" w:rsidR="00021A80" w:rsidRPr="003D080D" w:rsidRDefault="00021A8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</w:p>
    <w:p w14:paraId="4BA772A6" w14:textId="3EDE7C78" w:rsidR="00021A80" w:rsidRDefault="00021A8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Tutto ciò alla luce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>dell’attuazione della nuova legge regionale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>( L.R. n. 7/2024 )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che disciplina il</w:t>
      </w:r>
      <w:r w:rsid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“</w:t>
      </w:r>
      <w:r w:rsidRPr="003D080D">
        <w:rPr>
          <w:rFonts w:ascii="Arial" w:eastAsiaTheme="minorHAnsi" w:hAnsi="Arial"/>
          <w:bCs/>
          <w:i/>
          <w:iCs/>
          <w:sz w:val="22"/>
          <w:szCs w:val="22"/>
          <w:lang w:eastAsia="en-US"/>
        </w:rPr>
        <w:t xml:space="preserve"> </w:t>
      </w:r>
      <w:r w:rsidR="003D080D">
        <w:rPr>
          <w:rFonts w:ascii="Arial" w:eastAsiaTheme="minorHAnsi" w:hAnsi="Arial"/>
          <w:bCs/>
          <w:i/>
          <w:iCs/>
          <w:sz w:val="22"/>
          <w:szCs w:val="22"/>
          <w:lang w:eastAsia="en-US"/>
        </w:rPr>
        <w:t>P</w:t>
      </w:r>
      <w:r w:rsidRPr="003D080D">
        <w:rPr>
          <w:rFonts w:ascii="Arial" w:eastAsiaTheme="minorHAnsi" w:hAnsi="Arial"/>
          <w:bCs/>
          <w:i/>
          <w:iCs/>
          <w:sz w:val="22"/>
          <w:szCs w:val="22"/>
          <w:lang w:eastAsia="en-US"/>
        </w:rPr>
        <w:t>rogetto globale delle persone con lesione al midollo spinale e il funzionamento dell’Unità Spinale Unipolare nel Servizio Socio – sanitario umbro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</w:t>
      </w:r>
      <w:r w:rsid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“ 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e che </w:t>
      </w:r>
      <w:r w:rsidRPr="003D080D">
        <w:rPr>
          <w:rFonts w:ascii="Arial" w:eastAsiaTheme="minorHAnsi" w:hAnsi="Arial"/>
          <w:b/>
          <w:sz w:val="22"/>
          <w:szCs w:val="22"/>
          <w:lang w:eastAsia="en-US"/>
        </w:rPr>
        <w:t xml:space="preserve">dovrà essere, con tutti gli oneri e gli onori, </w:t>
      </w:r>
      <w:r w:rsidR="003C2F2F" w:rsidRPr="003D080D">
        <w:rPr>
          <w:rFonts w:ascii="Arial" w:eastAsiaTheme="minorHAnsi" w:hAnsi="Arial"/>
          <w:b/>
          <w:sz w:val="22"/>
          <w:szCs w:val="22"/>
          <w:lang w:eastAsia="en-US"/>
        </w:rPr>
        <w:t xml:space="preserve">realizzata in questa legislatura </w:t>
      </w:r>
      <w:r w:rsidR="003C2F2F" w:rsidRPr="003D080D">
        <w:rPr>
          <w:rFonts w:ascii="Arial" w:eastAsiaTheme="minorHAnsi" w:hAnsi="Arial"/>
          <w:bCs/>
          <w:sz w:val="22"/>
          <w:szCs w:val="22"/>
          <w:lang w:eastAsia="en-US"/>
        </w:rPr>
        <w:t>per dare certezza alle aspirazioni di “ salute “ delle persone con lesione al midollo spinale.</w:t>
      </w:r>
      <w:r w:rsidRPr="003D080D">
        <w:rPr>
          <w:rFonts w:ascii="Arial" w:eastAsiaTheme="minorHAnsi" w:hAnsi="Arial"/>
          <w:bCs/>
          <w:sz w:val="22"/>
          <w:szCs w:val="22"/>
          <w:lang w:eastAsia="en-US"/>
        </w:rPr>
        <w:t xml:space="preserve"> </w:t>
      </w:r>
    </w:p>
    <w:p w14:paraId="1DD25194" w14:textId="77777777" w:rsidR="00774910" w:rsidRDefault="0077491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</w:p>
    <w:p w14:paraId="428C7867" w14:textId="77777777" w:rsidR="00774910" w:rsidRDefault="0077491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</w:p>
    <w:p w14:paraId="24EA2915" w14:textId="30B40B84" w:rsidR="00774910" w:rsidRDefault="0077491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  <w:r>
        <w:rPr>
          <w:rFonts w:ascii="Arial" w:eastAsiaTheme="minorHAnsi" w:hAnsi="Arial"/>
          <w:bCs/>
          <w:sz w:val="22"/>
          <w:szCs w:val="22"/>
          <w:lang w:eastAsia="en-US"/>
        </w:rPr>
        <w:t>Cav. Raffaele Goretti</w:t>
      </w:r>
    </w:p>
    <w:p w14:paraId="2C395F7D" w14:textId="74E034EB" w:rsidR="00774910" w:rsidRDefault="0077491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  <w:r>
        <w:rPr>
          <w:rFonts w:ascii="Arial" w:eastAsiaTheme="minorHAnsi" w:hAnsi="Arial"/>
          <w:bCs/>
          <w:sz w:val="22"/>
          <w:szCs w:val="22"/>
          <w:lang w:eastAsia="en-US"/>
        </w:rPr>
        <w:t>Componente della Associazione “ Perugia per la Sanità Pubblica”</w:t>
      </w:r>
    </w:p>
    <w:p w14:paraId="364415EE" w14:textId="5E3DD14B" w:rsidR="00774910" w:rsidRPr="003D080D" w:rsidRDefault="00774910" w:rsidP="00021A80">
      <w:pPr>
        <w:jc w:val="both"/>
        <w:rPr>
          <w:rFonts w:ascii="Arial" w:eastAsiaTheme="minorHAnsi" w:hAnsi="Arial"/>
          <w:bCs/>
          <w:sz w:val="22"/>
          <w:szCs w:val="22"/>
          <w:lang w:eastAsia="en-US"/>
        </w:rPr>
      </w:pPr>
      <w:r>
        <w:rPr>
          <w:rFonts w:ascii="Arial" w:eastAsiaTheme="minorHAnsi" w:hAnsi="Arial"/>
          <w:bCs/>
          <w:sz w:val="22"/>
          <w:szCs w:val="22"/>
          <w:lang w:eastAsia="en-US"/>
        </w:rPr>
        <w:t>Presidente della Fondazione Serena Olivi</w:t>
      </w:r>
    </w:p>
    <w:sectPr w:rsidR="00774910" w:rsidRPr="003D080D" w:rsidSect="00052DE7">
      <w:headerReference w:type="default" r:id="rId8"/>
      <w:footerReference w:type="default" r:id="rId9"/>
      <w:pgSz w:w="11906" w:h="16838"/>
      <w:pgMar w:top="1564" w:right="1701" w:bottom="1186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834C" w14:textId="77777777" w:rsidR="00C57643" w:rsidRDefault="00C57643">
      <w:r>
        <w:separator/>
      </w:r>
    </w:p>
  </w:endnote>
  <w:endnote w:type="continuationSeparator" w:id="0">
    <w:p w14:paraId="64D59300" w14:textId="77777777" w:rsidR="00C57643" w:rsidRDefault="00C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F8F9" w14:textId="7F52B5F1" w:rsidR="00EB7F31" w:rsidRPr="00052DE7" w:rsidRDefault="00052DE7">
    <w:pPr>
      <w:pStyle w:val="Pidipagina"/>
      <w:rPr>
        <w:lang w:val="en-US"/>
      </w:rPr>
    </w:pPr>
    <w:r>
      <w:rPr>
        <w:rFonts w:ascii="Tahoma" w:hAnsi="Tahoma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1938" w14:textId="77777777" w:rsidR="00C57643" w:rsidRDefault="00C57643">
      <w:r>
        <w:rPr>
          <w:color w:val="000000"/>
        </w:rPr>
        <w:separator/>
      </w:r>
    </w:p>
  </w:footnote>
  <w:footnote w:type="continuationSeparator" w:id="0">
    <w:p w14:paraId="35670E18" w14:textId="77777777" w:rsidR="00C57643" w:rsidRDefault="00C5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E097" w14:textId="3249149A" w:rsidR="00EB7F31" w:rsidRDefault="00CF70CD" w:rsidP="00D00350">
    <w:pPr>
      <w:pStyle w:val="Intestazione"/>
      <w:tabs>
        <w:tab w:val="clear" w:pos="9638"/>
        <w:tab w:val="left" w:pos="7290"/>
        <w:tab w:val="right" w:pos="8504"/>
      </w:tabs>
      <w:ind w:left="-709"/>
    </w:pPr>
    <w:r>
      <w:rPr>
        <w:noProof/>
        <w:lang w:eastAsia="it-IT" w:bidi="ar-SA"/>
      </w:rPr>
      <w:drawing>
        <wp:inline distT="0" distB="0" distL="0" distR="0" wp14:anchorId="38A835AE" wp14:editId="6E72A4BD">
          <wp:extent cx="1876425" cy="1009650"/>
          <wp:effectExtent l="0" t="0" r="0" b="0"/>
          <wp:docPr id="2" name="Immagine 2" descr="Immagine che contiene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5189">
      <w:t xml:space="preserve">                                                       </w:t>
    </w:r>
    <w:r w:rsidR="00052DE7">
      <w:t xml:space="preserve">                    </w:t>
    </w:r>
    <w:r w:rsidR="000C5189">
      <w:t xml:space="preserve">  </w:t>
    </w:r>
    <w:r w:rsidR="004E794A">
      <w:tab/>
    </w:r>
    <w:r w:rsidR="004E794A">
      <w:tab/>
    </w:r>
  </w:p>
  <w:p w14:paraId="55FEC87C" w14:textId="77777777" w:rsidR="00EB7F31" w:rsidRDefault="00EB7F31">
    <w:pPr>
      <w:pStyle w:val="Intestazione"/>
    </w:pPr>
  </w:p>
  <w:p w14:paraId="16486FCF" w14:textId="77777777" w:rsidR="00EB7F31" w:rsidRDefault="00EB7F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5C1"/>
    <w:multiLevelType w:val="hybridMultilevel"/>
    <w:tmpl w:val="DA0CA352"/>
    <w:lvl w:ilvl="0" w:tplc="E6746D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1D4A"/>
    <w:multiLevelType w:val="multilevel"/>
    <w:tmpl w:val="AB600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29C3E42"/>
    <w:multiLevelType w:val="hybridMultilevel"/>
    <w:tmpl w:val="7E924E22"/>
    <w:lvl w:ilvl="0" w:tplc="8318C3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382E"/>
    <w:multiLevelType w:val="hybridMultilevel"/>
    <w:tmpl w:val="7D2220C4"/>
    <w:lvl w:ilvl="0" w:tplc="5B4615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748F"/>
    <w:multiLevelType w:val="hybridMultilevel"/>
    <w:tmpl w:val="37CAD260"/>
    <w:lvl w:ilvl="0" w:tplc="E6746D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8529E"/>
    <w:multiLevelType w:val="multilevel"/>
    <w:tmpl w:val="5CAC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FCE4D27"/>
    <w:multiLevelType w:val="hybridMultilevel"/>
    <w:tmpl w:val="2F66A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67203">
    <w:abstractNumId w:val="1"/>
  </w:num>
  <w:num w:numId="2" w16cid:durableId="143000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143708">
    <w:abstractNumId w:val="6"/>
  </w:num>
  <w:num w:numId="4" w16cid:durableId="188835002">
    <w:abstractNumId w:val="3"/>
  </w:num>
  <w:num w:numId="5" w16cid:durableId="1770199064">
    <w:abstractNumId w:val="2"/>
  </w:num>
  <w:num w:numId="6" w16cid:durableId="1901401424">
    <w:abstractNumId w:val="4"/>
  </w:num>
  <w:num w:numId="7" w16cid:durableId="198084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F7"/>
    <w:rsid w:val="00021A80"/>
    <w:rsid w:val="00052DE7"/>
    <w:rsid w:val="000577F1"/>
    <w:rsid w:val="00077ECF"/>
    <w:rsid w:val="0009624D"/>
    <w:rsid w:val="000B5EB7"/>
    <w:rsid w:val="000C03F5"/>
    <w:rsid w:val="000C5189"/>
    <w:rsid w:val="00147FD5"/>
    <w:rsid w:val="001751AB"/>
    <w:rsid w:val="001C1DEF"/>
    <w:rsid w:val="001D62DA"/>
    <w:rsid w:val="001F438D"/>
    <w:rsid w:val="00201D71"/>
    <w:rsid w:val="00206805"/>
    <w:rsid w:val="00232EAE"/>
    <w:rsid w:val="00251C70"/>
    <w:rsid w:val="002C3EE4"/>
    <w:rsid w:val="00344AF9"/>
    <w:rsid w:val="00356965"/>
    <w:rsid w:val="003678E0"/>
    <w:rsid w:val="00371D82"/>
    <w:rsid w:val="00377E37"/>
    <w:rsid w:val="003803C4"/>
    <w:rsid w:val="003821DB"/>
    <w:rsid w:val="00386994"/>
    <w:rsid w:val="003C2F2F"/>
    <w:rsid w:val="003D080D"/>
    <w:rsid w:val="00451178"/>
    <w:rsid w:val="004B2699"/>
    <w:rsid w:val="004C5985"/>
    <w:rsid w:val="004E794A"/>
    <w:rsid w:val="005311DF"/>
    <w:rsid w:val="005550F1"/>
    <w:rsid w:val="00592EB1"/>
    <w:rsid w:val="005C5916"/>
    <w:rsid w:val="005D37CC"/>
    <w:rsid w:val="00630583"/>
    <w:rsid w:val="00636E5F"/>
    <w:rsid w:val="00660C5D"/>
    <w:rsid w:val="006737CA"/>
    <w:rsid w:val="00673954"/>
    <w:rsid w:val="0069716D"/>
    <w:rsid w:val="006977D5"/>
    <w:rsid w:val="006B3DF7"/>
    <w:rsid w:val="006C7AA5"/>
    <w:rsid w:val="006D2289"/>
    <w:rsid w:val="006F3DF5"/>
    <w:rsid w:val="00711D48"/>
    <w:rsid w:val="00712C3F"/>
    <w:rsid w:val="00774910"/>
    <w:rsid w:val="00777EE1"/>
    <w:rsid w:val="007A504E"/>
    <w:rsid w:val="007C05B0"/>
    <w:rsid w:val="007D1DF4"/>
    <w:rsid w:val="007D3637"/>
    <w:rsid w:val="007D4538"/>
    <w:rsid w:val="00843EA7"/>
    <w:rsid w:val="00864C0D"/>
    <w:rsid w:val="00892A7D"/>
    <w:rsid w:val="008A6377"/>
    <w:rsid w:val="008B05D6"/>
    <w:rsid w:val="0090064F"/>
    <w:rsid w:val="009228DB"/>
    <w:rsid w:val="00927BFF"/>
    <w:rsid w:val="009338FE"/>
    <w:rsid w:val="0098638C"/>
    <w:rsid w:val="00A15E9C"/>
    <w:rsid w:val="00A23556"/>
    <w:rsid w:val="00A67A2D"/>
    <w:rsid w:val="00A77800"/>
    <w:rsid w:val="00A80258"/>
    <w:rsid w:val="00AB4150"/>
    <w:rsid w:val="00AE0094"/>
    <w:rsid w:val="00AF3304"/>
    <w:rsid w:val="00B10AEC"/>
    <w:rsid w:val="00B82A98"/>
    <w:rsid w:val="00C05246"/>
    <w:rsid w:val="00C27C52"/>
    <w:rsid w:val="00C57643"/>
    <w:rsid w:val="00CF70CD"/>
    <w:rsid w:val="00D00350"/>
    <w:rsid w:val="00D40E81"/>
    <w:rsid w:val="00D42235"/>
    <w:rsid w:val="00D5652B"/>
    <w:rsid w:val="00DA1454"/>
    <w:rsid w:val="00DA41A4"/>
    <w:rsid w:val="00DB16C1"/>
    <w:rsid w:val="00E0286E"/>
    <w:rsid w:val="00E13888"/>
    <w:rsid w:val="00E54590"/>
    <w:rsid w:val="00E87275"/>
    <w:rsid w:val="00E96BEA"/>
    <w:rsid w:val="00EB4639"/>
    <w:rsid w:val="00EB7F31"/>
    <w:rsid w:val="00EC535E"/>
    <w:rsid w:val="00EE236D"/>
    <w:rsid w:val="00EE2647"/>
    <w:rsid w:val="00EF4D72"/>
    <w:rsid w:val="00F00A92"/>
    <w:rsid w:val="00F36383"/>
    <w:rsid w:val="00F44C40"/>
    <w:rsid w:val="00F45562"/>
    <w:rsid w:val="00F515CA"/>
    <w:rsid w:val="00F70176"/>
    <w:rsid w:val="00F74972"/>
    <w:rsid w:val="00F91AA3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0167A"/>
  <w15:docId w15:val="{0DB06BA2-E4FE-44E3-9869-8DDE0DC4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cs="Mangal"/>
      <w:szCs w:val="21"/>
    </w:rPr>
  </w:style>
  <w:style w:type="character" w:customStyle="1" w:styleId="PidipaginaCarattere">
    <w:name w:val="Piè di pagina Carattere"/>
    <w:rPr>
      <w:rFonts w:cs="Mangal"/>
      <w:szCs w:val="21"/>
    </w:rPr>
  </w:style>
  <w:style w:type="character" w:styleId="Collegamentoipertestuale">
    <w:name w:val="Hyperlink"/>
    <w:uiPriority w:val="99"/>
    <w:unhideWhenUsed/>
    <w:rsid w:val="00711D4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7F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E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78E0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EC535E"/>
    <w:pPr>
      <w:widowControl/>
      <w:autoSpaceDN/>
      <w:jc w:val="both"/>
      <w:textAlignment w:val="auto"/>
    </w:pPr>
    <w:rPr>
      <w:rFonts w:ascii="Tahoma" w:eastAsia="Times New Roman" w:hAnsi="Tahoma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link w:val="Corpotesto"/>
    <w:semiHidden/>
    <w:rsid w:val="00EC535E"/>
    <w:rPr>
      <w:rFonts w:ascii="Tahoma" w:eastAsia="Times New Roman" w:hAnsi="Tahoma" w:cs="Times New Roman"/>
      <w:sz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5E70-EA7E-4C6F-A593-E293A507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mailto:info@fondazioneserenaolivi.it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Goretti</dc:creator>
  <cp:keywords/>
  <cp:lastModifiedBy>Serena Olivi</cp:lastModifiedBy>
  <cp:revision>8</cp:revision>
  <cp:lastPrinted>2024-12-04T11:27:00Z</cp:lastPrinted>
  <dcterms:created xsi:type="dcterms:W3CDTF">2024-12-04T11:29:00Z</dcterms:created>
  <dcterms:modified xsi:type="dcterms:W3CDTF">2024-12-05T14:37:00Z</dcterms:modified>
</cp:coreProperties>
</file>